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8778B" w:rsidRDefault="00F92268" w:rsidP="00850792">
      <w:pPr>
        <w:pStyle w:val="BodyText"/>
        <w:rPr>
          <w:sz w:val="6"/>
          <w:szCs w:val="6"/>
        </w:rPr>
      </w:pPr>
      <w:r w:rsidRPr="0068778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8778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8778B" w:rsidRDefault="00F92268" w:rsidP="00F246C7">
            <w:pPr>
              <w:pStyle w:val="RefTableData"/>
            </w:pPr>
            <w:r w:rsidRPr="0068778B">
              <w:t>Reference number(s)</w:t>
            </w:r>
          </w:p>
        </w:tc>
      </w:tr>
      <w:tr w:rsidR="00F92268" w:rsidRPr="0068778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E4A8694" w:rsidR="00F92268" w:rsidRPr="0068778B" w:rsidRDefault="00C64A1B" w:rsidP="00F246C7">
            <w:pPr>
              <w:pStyle w:val="RefTableHeader"/>
            </w:pPr>
            <w:r w:rsidRPr="0068778B">
              <w:t>1950-A</w:t>
            </w:r>
          </w:p>
        </w:tc>
      </w:tr>
    </w:tbl>
    <w:p w14:paraId="74FBA5B4" w14:textId="77777777" w:rsidR="00051356" w:rsidRPr="0068778B" w:rsidRDefault="00051356" w:rsidP="00A672B3">
      <w:pPr>
        <w:pStyle w:val="BodyText"/>
        <w:rPr>
          <w:b/>
          <w:bCs/>
          <w:sz w:val="16"/>
          <w:szCs w:val="16"/>
        </w:rPr>
        <w:sectPr w:rsidR="00051356" w:rsidRPr="0068778B" w:rsidSect="0065591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EB097D4" w:rsidR="004B15BB" w:rsidRPr="0068778B" w:rsidRDefault="00694385" w:rsidP="007E5C16">
      <w:pPr>
        <w:pStyle w:val="Heading1"/>
      </w:pPr>
      <w:r w:rsidRPr="0068778B">
        <w:t>Specialty Guideline Management</w:t>
      </w:r>
      <w:r w:rsidR="00F03A09" w:rsidRPr="0068778B">
        <w:br/>
      </w:r>
      <w:proofErr w:type="spellStart"/>
      <w:r w:rsidRPr="0068778B">
        <w:t>Stimate</w:t>
      </w:r>
      <w:proofErr w:type="spellEnd"/>
    </w:p>
    <w:p w14:paraId="78861C92" w14:textId="07BD85B2" w:rsidR="00203468" w:rsidRPr="0068778B" w:rsidRDefault="00C64534" w:rsidP="008E0F0D">
      <w:pPr>
        <w:pStyle w:val="Heading2"/>
      </w:pPr>
      <w:r w:rsidRPr="0068778B">
        <w:t xml:space="preserve">Products Referenced by this </w:t>
      </w:r>
      <w:r w:rsidR="00501602" w:rsidRPr="0068778B">
        <w:t>Document</w:t>
      </w:r>
    </w:p>
    <w:p w14:paraId="5455152B" w14:textId="3473B06E" w:rsidR="008E0F0D" w:rsidRPr="0068778B" w:rsidRDefault="00D82D85" w:rsidP="008B73E8">
      <w:pPr>
        <w:pStyle w:val="BodyText"/>
      </w:pPr>
      <w:r w:rsidRPr="0068778B">
        <w:t xml:space="preserve">Drugs that are listed in the </w:t>
      </w:r>
      <w:r w:rsidR="000315F1" w:rsidRPr="0068778B">
        <w:t>following table</w:t>
      </w:r>
      <w:r w:rsidRPr="0068778B">
        <w:t xml:space="preserve"> include both brand and generic and all dosage forms and strengths unless otherwise stated. </w:t>
      </w:r>
      <w:r w:rsidR="00B31890">
        <w:t>Over-the-counter (</w:t>
      </w:r>
      <w:r w:rsidRPr="0068778B">
        <w:t>OTC</w:t>
      </w:r>
      <w:r w:rsidR="00B31890">
        <w:t>)</w:t>
      </w:r>
      <w:r w:rsidRPr="0068778B">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68778B" w14:paraId="158421F8" w14:textId="77777777" w:rsidTr="000C5A6F">
        <w:trPr>
          <w:cantSplit/>
          <w:trHeight w:val="288"/>
          <w:tblHeader/>
        </w:trPr>
        <w:tc>
          <w:tcPr>
            <w:tcW w:w="5265" w:type="dxa"/>
            <w:vAlign w:val="center"/>
          </w:tcPr>
          <w:p w14:paraId="2A27354A" w14:textId="1390179E" w:rsidR="00252CE1" w:rsidRPr="0068778B" w:rsidRDefault="00252CE1" w:rsidP="00AA1E6A">
            <w:pPr>
              <w:pStyle w:val="TableHeader"/>
            </w:pPr>
            <w:bookmarkStart w:id="0" w:name="_Hlk159603270"/>
            <w:r w:rsidRPr="0068778B">
              <w:t>Brand Name</w:t>
            </w:r>
          </w:p>
        </w:tc>
        <w:tc>
          <w:tcPr>
            <w:tcW w:w="5595" w:type="dxa"/>
            <w:vAlign w:val="center"/>
          </w:tcPr>
          <w:p w14:paraId="3D342BE1" w14:textId="75F11EF1" w:rsidR="00252CE1" w:rsidRPr="0068778B" w:rsidRDefault="00252CE1" w:rsidP="00AA1E6A">
            <w:pPr>
              <w:pStyle w:val="TableHeader"/>
            </w:pPr>
            <w:r w:rsidRPr="0068778B">
              <w:t>Generic Name</w:t>
            </w:r>
          </w:p>
        </w:tc>
      </w:tr>
      <w:tr w:rsidR="00585FFF" w:rsidRPr="0068778B" w14:paraId="2AD5C02D" w14:textId="77777777" w:rsidTr="000C5A6F">
        <w:trPr>
          <w:cantSplit/>
        </w:trPr>
        <w:tc>
          <w:tcPr>
            <w:tcW w:w="5265" w:type="dxa"/>
          </w:tcPr>
          <w:p w14:paraId="2D8FA8E3" w14:textId="53B1D149" w:rsidR="00585FFF" w:rsidRPr="0068778B" w:rsidRDefault="00694385" w:rsidP="00E82ABA">
            <w:pPr>
              <w:pStyle w:val="TableDataUnpadded"/>
            </w:pPr>
            <w:proofErr w:type="spellStart"/>
            <w:r w:rsidRPr="0068778B">
              <w:t>Stimate</w:t>
            </w:r>
            <w:proofErr w:type="spellEnd"/>
          </w:p>
        </w:tc>
        <w:tc>
          <w:tcPr>
            <w:tcW w:w="5595" w:type="dxa"/>
          </w:tcPr>
          <w:p w14:paraId="7E26A004" w14:textId="064D0578" w:rsidR="00585FFF" w:rsidRPr="0068778B" w:rsidRDefault="00694385" w:rsidP="00E82ABA">
            <w:pPr>
              <w:pStyle w:val="TableDataUnpadded"/>
            </w:pPr>
            <w:r w:rsidRPr="0068778B">
              <w:t>desmopressin acetate nasal spray</w:t>
            </w:r>
          </w:p>
        </w:tc>
      </w:tr>
    </w:tbl>
    <w:bookmarkEnd w:id="0"/>
    <w:p w14:paraId="14CE6108" w14:textId="0CBEC3E0" w:rsidR="00FC1AAD" w:rsidRPr="0068778B" w:rsidRDefault="00ED052F" w:rsidP="00AA2A94">
      <w:pPr>
        <w:pStyle w:val="Heading2"/>
        <w:tabs>
          <w:tab w:val="left" w:pos="9540"/>
        </w:tabs>
      </w:pPr>
      <w:r w:rsidRPr="0068778B">
        <w:t>Indications</w:t>
      </w:r>
    </w:p>
    <w:p w14:paraId="36381444" w14:textId="355BC0B8" w:rsidR="00694385" w:rsidRPr="0068778B" w:rsidRDefault="00694385" w:rsidP="00694385">
      <w:pPr>
        <w:pStyle w:val="BodyText"/>
      </w:pPr>
      <w:r w:rsidRPr="0068778B">
        <w:t>The indications below including FDA-approved indications and compendial uses are considered a covered benefit provided that all the approval criteria are met and the member has no exclusions to the prescribed therapy.</w:t>
      </w:r>
    </w:p>
    <w:p w14:paraId="134B5687" w14:textId="0D6D236C" w:rsidR="00ED052F" w:rsidRPr="0068778B" w:rsidRDefault="00ED052F" w:rsidP="00102869">
      <w:pPr>
        <w:pStyle w:val="Heading3"/>
      </w:pPr>
      <w:r w:rsidRPr="0068778B">
        <w:t>FDA-</w:t>
      </w:r>
      <w:r w:rsidR="00102869" w:rsidRPr="0068778B">
        <w:t>A</w:t>
      </w:r>
      <w:r w:rsidRPr="0068778B">
        <w:t>pproved Indications</w:t>
      </w:r>
      <w:r w:rsidR="00694385" w:rsidRPr="0068778B">
        <w:rPr>
          <w:vertAlign w:val="superscript"/>
        </w:rPr>
        <w:t>1</w:t>
      </w:r>
    </w:p>
    <w:p w14:paraId="721B06EB" w14:textId="753AC66D" w:rsidR="00694385" w:rsidRPr="0068778B" w:rsidRDefault="00694385" w:rsidP="00102869">
      <w:pPr>
        <w:pStyle w:val="ListParagraph"/>
        <w:numPr>
          <w:ilvl w:val="0"/>
          <w:numId w:val="29"/>
        </w:numPr>
      </w:pPr>
      <w:r w:rsidRPr="0068778B">
        <w:t>Hemophilia A with Factor VIII coagulant activity level &gt;5%</w:t>
      </w:r>
    </w:p>
    <w:p w14:paraId="4C434745" w14:textId="5609BE5C" w:rsidR="00ED052F" w:rsidRPr="0068778B" w:rsidRDefault="00694385" w:rsidP="00102869">
      <w:pPr>
        <w:pStyle w:val="ListParagraph"/>
        <w:numPr>
          <w:ilvl w:val="0"/>
          <w:numId w:val="29"/>
        </w:numPr>
      </w:pPr>
      <w:r w:rsidRPr="0068778B">
        <w:t>Mild to moderate type 1 von Willebrand disease (VWD) with Factor VIII activity level &gt;5%</w:t>
      </w:r>
    </w:p>
    <w:p w14:paraId="0B5EC236" w14:textId="40D93BD6" w:rsidR="0044763A" w:rsidRPr="0068778B" w:rsidRDefault="009F2EF1" w:rsidP="00102869">
      <w:pPr>
        <w:pStyle w:val="Heading3"/>
      </w:pPr>
      <w:r w:rsidRPr="0068778B">
        <w:t>Compendial Uses</w:t>
      </w:r>
      <w:r w:rsidR="00694385" w:rsidRPr="0068778B">
        <w:rPr>
          <w:vertAlign w:val="superscript"/>
        </w:rPr>
        <w:t>2-1</w:t>
      </w:r>
      <w:r w:rsidR="00451C27">
        <w:rPr>
          <w:vertAlign w:val="superscript"/>
        </w:rPr>
        <w:t>1</w:t>
      </w:r>
    </w:p>
    <w:p w14:paraId="17AB87AC" w14:textId="77777777" w:rsidR="00694385" w:rsidRPr="0068778B" w:rsidRDefault="00694385" w:rsidP="00102869">
      <w:pPr>
        <w:pStyle w:val="ListParagraph"/>
        <w:numPr>
          <w:ilvl w:val="0"/>
          <w:numId w:val="30"/>
        </w:numPr>
      </w:pPr>
      <w:r w:rsidRPr="0068778B">
        <w:t>Type 2A, 2M, 2N VWD</w:t>
      </w:r>
    </w:p>
    <w:p w14:paraId="2A80A2C9" w14:textId="77777777" w:rsidR="00694385" w:rsidRPr="0068778B" w:rsidRDefault="00694385" w:rsidP="00102869">
      <w:pPr>
        <w:pStyle w:val="ListParagraph"/>
        <w:numPr>
          <w:ilvl w:val="0"/>
          <w:numId w:val="30"/>
        </w:numPr>
      </w:pPr>
      <w:r w:rsidRPr="0068778B">
        <w:t>Qualitative platelet disorders</w:t>
      </w:r>
    </w:p>
    <w:p w14:paraId="23F1AF92" w14:textId="77777777" w:rsidR="00694385" w:rsidRPr="0068778B" w:rsidRDefault="00694385" w:rsidP="00102869">
      <w:pPr>
        <w:pStyle w:val="ListParagraph"/>
        <w:numPr>
          <w:ilvl w:val="0"/>
          <w:numId w:val="30"/>
        </w:numPr>
      </w:pPr>
      <w:r w:rsidRPr="0068778B">
        <w:t>Acquired hemophilia A</w:t>
      </w:r>
    </w:p>
    <w:p w14:paraId="51F6B51B" w14:textId="39C63F8F" w:rsidR="00694385" w:rsidRPr="0068778B" w:rsidRDefault="00694385" w:rsidP="00102869">
      <w:pPr>
        <w:pStyle w:val="ListParagraph"/>
        <w:numPr>
          <w:ilvl w:val="0"/>
          <w:numId w:val="30"/>
        </w:numPr>
        <w:spacing w:after="120"/>
      </w:pPr>
      <w:r w:rsidRPr="0068778B">
        <w:t>Acquired von Willebrand syndrome</w:t>
      </w:r>
    </w:p>
    <w:p w14:paraId="0D5A9DD5" w14:textId="22E4AF7F" w:rsidR="009A5649" w:rsidRPr="0068778B" w:rsidRDefault="00694385" w:rsidP="00102869">
      <w:pPr>
        <w:pStyle w:val="BodyText"/>
        <w:rPr>
          <w:rFonts w:eastAsia="Arial"/>
        </w:rPr>
      </w:pPr>
      <w:r w:rsidRPr="0068778B">
        <w:t>All other indications are considered experimental/investigational and not medically necessary</w:t>
      </w:r>
      <w:r w:rsidR="00A750F7" w:rsidRPr="0068778B">
        <w:t>.</w:t>
      </w:r>
    </w:p>
    <w:p w14:paraId="50A38FBA" w14:textId="5ECF8FFA" w:rsidR="00FE0C63" w:rsidRPr="0068778B" w:rsidRDefault="00685107" w:rsidP="00C64A1B">
      <w:pPr>
        <w:pStyle w:val="Heading2"/>
        <w:tabs>
          <w:tab w:val="left" w:pos="9624"/>
        </w:tabs>
      </w:pPr>
      <w:r w:rsidRPr="0068778B">
        <w:lastRenderedPageBreak/>
        <w:t>Coverage Criteria</w:t>
      </w:r>
    </w:p>
    <w:p w14:paraId="24E77A83" w14:textId="489C2D21" w:rsidR="00694385" w:rsidRPr="0068778B" w:rsidRDefault="00694385" w:rsidP="00102869">
      <w:pPr>
        <w:pStyle w:val="Heading3"/>
        <w:rPr>
          <w:vertAlign w:val="superscript"/>
        </w:rPr>
      </w:pPr>
      <w:r w:rsidRPr="0068778B">
        <w:t>Von Willebrand Disease</w:t>
      </w:r>
      <w:r w:rsidRPr="0068778B">
        <w:rPr>
          <w:vertAlign w:val="superscript"/>
        </w:rPr>
        <w:t>1-4,1</w:t>
      </w:r>
      <w:r w:rsidR="00CB602F">
        <w:rPr>
          <w:vertAlign w:val="superscript"/>
        </w:rPr>
        <w:t>0</w:t>
      </w:r>
    </w:p>
    <w:p w14:paraId="5F53C99B" w14:textId="77777777" w:rsidR="00694385" w:rsidRPr="0068778B" w:rsidRDefault="00694385" w:rsidP="00102869">
      <w:pPr>
        <w:pStyle w:val="BodyText"/>
      </w:pPr>
      <w:r w:rsidRPr="0068778B">
        <w:t>Type 1, 2A, 2M, or 2N VWD</w:t>
      </w:r>
    </w:p>
    <w:p w14:paraId="2C6A2D3B" w14:textId="77777777" w:rsidR="00694385" w:rsidRPr="0068778B" w:rsidRDefault="00694385" w:rsidP="00425C89">
      <w:pPr>
        <w:pStyle w:val="ListParagraph"/>
      </w:pPr>
      <w:r w:rsidRPr="0068778B">
        <w:t>Authorization of one month may be granted for treatment of mild or moderate type 1 and type 2A, 2M, or 2N VWD in members who are initiating therapy.</w:t>
      </w:r>
    </w:p>
    <w:p w14:paraId="7CC43467" w14:textId="2850B0A4" w:rsidR="00694385" w:rsidRPr="0068778B" w:rsidRDefault="00694385" w:rsidP="00425C89">
      <w:pPr>
        <w:pStyle w:val="ListParagraph"/>
      </w:pPr>
      <w:r w:rsidRPr="0068778B">
        <w:t xml:space="preserve">Authorization of 12 months may be granted for treatment of mild or moderate type 1 and type 2A, 2M, or 2N VWD in members who are continuing therapy and have demonstrated a response to an initial trial of </w:t>
      </w:r>
      <w:proofErr w:type="spellStart"/>
      <w:r w:rsidRPr="0068778B">
        <w:t>Stimate</w:t>
      </w:r>
      <w:proofErr w:type="spellEnd"/>
      <w:r w:rsidRPr="0068778B">
        <w:t>.</w:t>
      </w:r>
    </w:p>
    <w:p w14:paraId="0E1B5FB0" w14:textId="77777777" w:rsidR="00694385" w:rsidRPr="0068778B" w:rsidRDefault="00694385" w:rsidP="00102869">
      <w:pPr>
        <w:pStyle w:val="Heading3"/>
      </w:pPr>
      <w:r w:rsidRPr="0068778B">
        <w:t>Hemophilia A</w:t>
      </w:r>
      <w:r w:rsidRPr="0068778B">
        <w:rPr>
          <w:vertAlign w:val="superscript"/>
        </w:rPr>
        <w:t>1,4</w:t>
      </w:r>
    </w:p>
    <w:p w14:paraId="71171747" w14:textId="34C7D132" w:rsidR="00694385" w:rsidRPr="0068778B" w:rsidRDefault="00694385" w:rsidP="00102869">
      <w:pPr>
        <w:pStyle w:val="BodyText"/>
      </w:pPr>
      <w:r w:rsidRPr="0068778B">
        <w:t>Authorization of 12 months may be granted for treatment of hemophilia A with factor VIII activity level greater than 5% (see Appendix).</w:t>
      </w:r>
    </w:p>
    <w:p w14:paraId="1DE4F15C" w14:textId="50A24F67" w:rsidR="00694385" w:rsidRPr="0068778B" w:rsidRDefault="00694385" w:rsidP="00102869">
      <w:pPr>
        <w:pStyle w:val="Heading3"/>
      </w:pPr>
      <w:r w:rsidRPr="0068778B">
        <w:t>Qualitative Platelet Disorders</w:t>
      </w:r>
      <w:r w:rsidRPr="0068778B">
        <w:rPr>
          <w:vertAlign w:val="superscript"/>
        </w:rPr>
        <w:t>6</w:t>
      </w:r>
    </w:p>
    <w:p w14:paraId="34179DDC" w14:textId="7AFE28BC" w:rsidR="00694385" w:rsidRPr="0068778B" w:rsidRDefault="00694385" w:rsidP="00102869">
      <w:pPr>
        <w:pStyle w:val="BodyText"/>
      </w:pPr>
      <w:r w:rsidRPr="0068778B">
        <w:t>Authorization of 12 months may be granted for treatment of a qualitative platelet disorder.</w:t>
      </w:r>
    </w:p>
    <w:p w14:paraId="090FD392" w14:textId="3DE8C223" w:rsidR="00694385" w:rsidRPr="0068778B" w:rsidRDefault="00694385" w:rsidP="00102869">
      <w:pPr>
        <w:pStyle w:val="Heading3"/>
      </w:pPr>
      <w:r w:rsidRPr="0068778B">
        <w:t>Acquired Hemophilia A</w:t>
      </w:r>
      <w:r w:rsidR="00BE5C53">
        <w:rPr>
          <w:vertAlign w:val="superscript"/>
        </w:rPr>
        <w:t>5,6</w:t>
      </w:r>
    </w:p>
    <w:p w14:paraId="53DE917A" w14:textId="135E5C69" w:rsidR="00694385" w:rsidRPr="0068778B" w:rsidRDefault="00694385" w:rsidP="00102869">
      <w:pPr>
        <w:pStyle w:val="BodyText"/>
      </w:pPr>
      <w:r w:rsidRPr="0068778B">
        <w:t>Authorization of 12 months may be granted for treatment of acquired hemophilia A.</w:t>
      </w:r>
    </w:p>
    <w:p w14:paraId="1C7FC5F2" w14:textId="002BD844" w:rsidR="00694385" w:rsidRPr="0068778B" w:rsidRDefault="00694385" w:rsidP="00102869">
      <w:pPr>
        <w:pStyle w:val="Heading3"/>
      </w:pPr>
      <w:r w:rsidRPr="0068778B">
        <w:t>Acquired von Willebrand Syndrome</w:t>
      </w:r>
      <w:r w:rsidR="00170D80">
        <w:rPr>
          <w:vertAlign w:val="superscript"/>
        </w:rPr>
        <w:t>8</w:t>
      </w:r>
      <w:r w:rsidRPr="0068778B">
        <w:rPr>
          <w:vertAlign w:val="superscript"/>
        </w:rPr>
        <w:t>,</w:t>
      </w:r>
      <w:r w:rsidR="00170D80">
        <w:rPr>
          <w:vertAlign w:val="superscript"/>
        </w:rPr>
        <w:t>9</w:t>
      </w:r>
    </w:p>
    <w:p w14:paraId="554B6E8F" w14:textId="6CD99979" w:rsidR="00B836B0" w:rsidRPr="0068778B" w:rsidRDefault="00694385" w:rsidP="00102869">
      <w:pPr>
        <w:pStyle w:val="BodyText"/>
      </w:pPr>
      <w:r w:rsidRPr="0068778B">
        <w:t>Authorization of 12 months may be granted for treatment of acquired von Willebrand syndrome.</w:t>
      </w:r>
    </w:p>
    <w:p w14:paraId="3A643EC3" w14:textId="35BF1E6F" w:rsidR="00A501AC" w:rsidRPr="0068778B" w:rsidRDefault="00A501AC" w:rsidP="00A501AC">
      <w:pPr>
        <w:pStyle w:val="Heading2"/>
      </w:pPr>
      <w:r w:rsidRPr="0068778B">
        <w:t>Continuation of Therapy</w:t>
      </w:r>
    </w:p>
    <w:p w14:paraId="32C8905D" w14:textId="1A808132" w:rsidR="00A501AC" w:rsidRPr="0068778B" w:rsidRDefault="00C64A1B" w:rsidP="00102869">
      <w:pPr>
        <w:pStyle w:val="BodyText"/>
      </w:pPr>
      <w:r w:rsidRPr="0068778B">
        <w:t>Authorization of 12 months may be granted for continued treatment in members requesting reauthorization for an indication listed in the coverage criteria section when the member is experiencing benefit from therapy (e.g., reduced frequency or severity of bleeds).</w:t>
      </w:r>
    </w:p>
    <w:p w14:paraId="784D6ED7" w14:textId="5E815A37" w:rsidR="008B1332" w:rsidRPr="0068778B" w:rsidRDefault="00B65538" w:rsidP="00BA347C">
      <w:pPr>
        <w:pStyle w:val="Heading2"/>
        <w:tabs>
          <w:tab w:val="clear" w:pos="2880"/>
          <w:tab w:val="left" w:pos="9278"/>
        </w:tabs>
      </w:pPr>
      <w:r w:rsidRPr="0068778B">
        <w:t>Appendix</w:t>
      </w:r>
    </w:p>
    <w:p w14:paraId="4DA22072" w14:textId="3512F3CB" w:rsidR="008B1332" w:rsidRPr="0068778B" w:rsidRDefault="008B1332" w:rsidP="008B1332">
      <w:pPr>
        <w:pStyle w:val="Heading3"/>
      </w:pPr>
      <w:r w:rsidRPr="0068778B">
        <w:t>Appendix</w:t>
      </w:r>
      <w:r w:rsidR="00C64A1B" w:rsidRPr="0068778B">
        <w:t>:</w:t>
      </w:r>
      <w:r w:rsidRPr="0068778B">
        <w:t xml:space="preserve"> </w:t>
      </w:r>
      <w:r w:rsidR="00C64A1B" w:rsidRPr="0068778B">
        <w:t>Classification of Hemophilia by Clotting Factor Level (% Activity) and Bleeding Episodes</w:t>
      </w:r>
      <w:r w:rsidR="00C64A1B" w:rsidRPr="0068778B">
        <w:rPr>
          <w:vertAlign w:val="superscript"/>
        </w:rPr>
        <w:t>1</w:t>
      </w:r>
      <w:r w:rsidR="002200D9">
        <w:rPr>
          <w:vertAlign w:val="superscript"/>
        </w:rPr>
        <w:t>1</w:t>
      </w:r>
    </w:p>
    <w:p w14:paraId="46971BA6" w14:textId="5B55D431" w:rsidR="00C64A1B" w:rsidRPr="0068778B" w:rsidRDefault="00C64A1B" w:rsidP="00C64A1B">
      <w:pPr>
        <w:pStyle w:val="BodyText"/>
      </w:pPr>
      <w:r w:rsidRPr="0068778B">
        <w:t>Factor assay levels are required to determine the diagnosis and are of value in monitoring treatment response.</w:t>
      </w:r>
      <w:r w:rsidRPr="0068778B">
        <w:rPr>
          <w:vertAlign w:val="superscript"/>
        </w:rPr>
        <w:t>1</w:t>
      </w:r>
      <w:r w:rsidR="002200D9">
        <w:rPr>
          <w:vertAlign w:val="superscript"/>
        </w:rPr>
        <w:t>1</w:t>
      </w:r>
    </w:p>
    <w:tbl>
      <w:tblPr>
        <w:tblStyle w:val="TableGrid"/>
        <w:tblW w:w="109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2000"/>
        <w:gridCol w:w="3010"/>
        <w:gridCol w:w="5940"/>
      </w:tblGrid>
      <w:tr w:rsidR="00C64A1B" w:rsidRPr="0068778B" w14:paraId="2874BE8A" w14:textId="77777777" w:rsidTr="00A750F7">
        <w:trPr>
          <w:cantSplit/>
          <w:trHeight w:val="288"/>
          <w:tblHeader/>
        </w:trPr>
        <w:tc>
          <w:tcPr>
            <w:tcW w:w="2000" w:type="dxa"/>
            <w:vAlign w:val="center"/>
          </w:tcPr>
          <w:p w14:paraId="466F84D1" w14:textId="4C79EC79" w:rsidR="00C64A1B" w:rsidRPr="0068778B" w:rsidRDefault="00C64A1B" w:rsidP="00C64A1B">
            <w:pPr>
              <w:pStyle w:val="TableHeader"/>
              <w:jc w:val="center"/>
            </w:pPr>
            <w:r w:rsidRPr="0068778B">
              <w:t>Severity</w:t>
            </w:r>
          </w:p>
        </w:tc>
        <w:tc>
          <w:tcPr>
            <w:tcW w:w="3010" w:type="dxa"/>
          </w:tcPr>
          <w:p w14:paraId="06C90810" w14:textId="77777777" w:rsidR="00C64A1B" w:rsidRPr="0068778B" w:rsidRDefault="00C64A1B" w:rsidP="00C64A1B">
            <w:pPr>
              <w:pStyle w:val="TableHeader"/>
              <w:jc w:val="center"/>
            </w:pPr>
            <w:r w:rsidRPr="0068778B">
              <w:t>Clotting Factor Level</w:t>
            </w:r>
          </w:p>
          <w:p w14:paraId="597F94FC" w14:textId="46D3D708" w:rsidR="00C64A1B" w:rsidRPr="0068778B" w:rsidRDefault="00C64A1B" w:rsidP="00C64A1B">
            <w:pPr>
              <w:pStyle w:val="TableHeader"/>
              <w:jc w:val="center"/>
            </w:pPr>
            <w:r w:rsidRPr="0068778B">
              <w:t>% activity</w:t>
            </w:r>
          </w:p>
        </w:tc>
        <w:tc>
          <w:tcPr>
            <w:tcW w:w="5940" w:type="dxa"/>
            <w:vAlign w:val="center"/>
          </w:tcPr>
          <w:p w14:paraId="3F472C21" w14:textId="7C5D2692" w:rsidR="00C64A1B" w:rsidRPr="0068778B" w:rsidRDefault="00C64A1B" w:rsidP="00C64A1B">
            <w:pPr>
              <w:pStyle w:val="TableHeader"/>
              <w:jc w:val="center"/>
            </w:pPr>
            <w:r w:rsidRPr="0068778B">
              <w:t>Bleeding Episodes</w:t>
            </w:r>
          </w:p>
        </w:tc>
      </w:tr>
      <w:tr w:rsidR="00C64A1B" w:rsidRPr="0068778B" w14:paraId="6757E998" w14:textId="77777777" w:rsidTr="00A750F7">
        <w:trPr>
          <w:cantSplit/>
          <w:trHeight w:val="226"/>
        </w:trPr>
        <w:tc>
          <w:tcPr>
            <w:tcW w:w="2000" w:type="dxa"/>
          </w:tcPr>
          <w:p w14:paraId="21BE71BA" w14:textId="7FBCE8BB" w:rsidR="00C64A1B" w:rsidRPr="0068778B" w:rsidRDefault="00C64A1B" w:rsidP="00C64A1B">
            <w:pPr>
              <w:pStyle w:val="TableDataUnpadded"/>
            </w:pPr>
            <w:r w:rsidRPr="0068778B">
              <w:t>Severe</w:t>
            </w:r>
          </w:p>
        </w:tc>
        <w:tc>
          <w:tcPr>
            <w:tcW w:w="3010" w:type="dxa"/>
          </w:tcPr>
          <w:p w14:paraId="03D8B81B" w14:textId="0D393E2E" w:rsidR="00C64A1B" w:rsidRPr="0068778B" w:rsidRDefault="00C64A1B" w:rsidP="00C64A1B">
            <w:pPr>
              <w:pStyle w:val="TableDataUnpadded"/>
            </w:pPr>
            <w:r w:rsidRPr="0068778B">
              <w:t xml:space="preserve">&lt;1% </w:t>
            </w:r>
          </w:p>
        </w:tc>
        <w:tc>
          <w:tcPr>
            <w:tcW w:w="5940" w:type="dxa"/>
          </w:tcPr>
          <w:p w14:paraId="410F6262" w14:textId="77777777" w:rsidR="00C64A1B" w:rsidRPr="0068778B" w:rsidRDefault="00C64A1B" w:rsidP="00C64A1B">
            <w:pPr>
              <w:spacing w:before="40" w:after="40"/>
              <w:rPr>
                <w:rFonts w:cs="Arial"/>
                <w:szCs w:val="22"/>
              </w:rPr>
            </w:pPr>
            <w:r w:rsidRPr="0068778B">
              <w:rPr>
                <w:rFonts w:cs="Arial"/>
                <w:szCs w:val="22"/>
              </w:rPr>
              <w:t>Spontaneous bleeding episodes, predominantly into joints and muscles</w:t>
            </w:r>
          </w:p>
          <w:p w14:paraId="221DABE3" w14:textId="063E32E1" w:rsidR="00C64A1B" w:rsidRPr="0068778B" w:rsidRDefault="00C64A1B" w:rsidP="00C64A1B">
            <w:pPr>
              <w:pStyle w:val="TableDataUnpadded"/>
            </w:pPr>
            <w:r w:rsidRPr="0068778B">
              <w:t>Severe bleeding with trauma, injury or surgery</w:t>
            </w:r>
          </w:p>
        </w:tc>
      </w:tr>
      <w:tr w:rsidR="00C64A1B" w:rsidRPr="0068778B" w14:paraId="24ADB8CC" w14:textId="77777777" w:rsidTr="00A750F7">
        <w:trPr>
          <w:cantSplit/>
        </w:trPr>
        <w:tc>
          <w:tcPr>
            <w:tcW w:w="2000" w:type="dxa"/>
            <w:vAlign w:val="center"/>
          </w:tcPr>
          <w:p w14:paraId="32A96D06" w14:textId="7FC10312" w:rsidR="00C64A1B" w:rsidRPr="0068778B" w:rsidRDefault="00C64A1B" w:rsidP="00C64A1B">
            <w:pPr>
              <w:pStyle w:val="TableDataUnpadded"/>
            </w:pPr>
            <w:r w:rsidRPr="0068778B">
              <w:t xml:space="preserve">Moderate </w:t>
            </w:r>
          </w:p>
        </w:tc>
        <w:tc>
          <w:tcPr>
            <w:tcW w:w="3010" w:type="dxa"/>
            <w:vAlign w:val="center"/>
          </w:tcPr>
          <w:p w14:paraId="1D889C74" w14:textId="2A9FBE94" w:rsidR="00C64A1B" w:rsidRPr="0068778B" w:rsidRDefault="00C64A1B" w:rsidP="00C64A1B">
            <w:pPr>
              <w:pStyle w:val="TableDataUnpadded"/>
            </w:pPr>
            <w:r w:rsidRPr="0068778B">
              <w:t xml:space="preserve">1% to 5% </w:t>
            </w:r>
          </w:p>
        </w:tc>
        <w:tc>
          <w:tcPr>
            <w:tcW w:w="5940" w:type="dxa"/>
          </w:tcPr>
          <w:p w14:paraId="51075716" w14:textId="77777777" w:rsidR="00C64A1B" w:rsidRPr="0068778B" w:rsidRDefault="00C64A1B" w:rsidP="00D451FE">
            <w:pPr>
              <w:pStyle w:val="TableDataUnpadded"/>
              <w:spacing w:after="40"/>
            </w:pPr>
            <w:r w:rsidRPr="0068778B">
              <w:t>Occasional spontaneous bleeding episodes</w:t>
            </w:r>
          </w:p>
          <w:p w14:paraId="28C83BE0" w14:textId="21A4C1E2" w:rsidR="00C64A1B" w:rsidRPr="0068778B" w:rsidRDefault="00C64A1B" w:rsidP="00102869">
            <w:pPr>
              <w:pStyle w:val="TableDataUnpadded"/>
            </w:pPr>
            <w:r w:rsidRPr="0068778B">
              <w:t>Severe bleeding with trauma, injury or surgery</w:t>
            </w:r>
          </w:p>
        </w:tc>
      </w:tr>
      <w:tr w:rsidR="00C64A1B" w:rsidRPr="0068778B" w14:paraId="106EBC3E" w14:textId="77777777" w:rsidTr="00A750F7">
        <w:trPr>
          <w:cantSplit/>
        </w:trPr>
        <w:tc>
          <w:tcPr>
            <w:tcW w:w="2000" w:type="dxa"/>
          </w:tcPr>
          <w:p w14:paraId="37973B55" w14:textId="7251FF94" w:rsidR="00C64A1B" w:rsidRPr="0068778B" w:rsidRDefault="00C64A1B" w:rsidP="00C64A1B">
            <w:pPr>
              <w:pStyle w:val="TableDataUnpadded"/>
            </w:pPr>
            <w:r w:rsidRPr="0068778B">
              <w:t>Mild</w:t>
            </w:r>
          </w:p>
        </w:tc>
        <w:tc>
          <w:tcPr>
            <w:tcW w:w="3010" w:type="dxa"/>
          </w:tcPr>
          <w:p w14:paraId="710F3FD9" w14:textId="4EC6CA99" w:rsidR="00C64A1B" w:rsidRPr="0068778B" w:rsidRDefault="00C64A1B" w:rsidP="00C64A1B">
            <w:pPr>
              <w:pStyle w:val="TableDataUnpadded"/>
            </w:pPr>
            <w:r w:rsidRPr="0068778B">
              <w:t xml:space="preserve">6% to 40% </w:t>
            </w:r>
          </w:p>
        </w:tc>
        <w:tc>
          <w:tcPr>
            <w:tcW w:w="5940" w:type="dxa"/>
          </w:tcPr>
          <w:p w14:paraId="3FCC01D2" w14:textId="1BE24EA1" w:rsidR="00C64A1B" w:rsidRPr="0068778B" w:rsidRDefault="00C64A1B" w:rsidP="00C64A1B">
            <w:pPr>
              <w:pStyle w:val="TableDataUnpadded"/>
            </w:pPr>
            <w:r w:rsidRPr="0068778B">
              <w:t>Severe bleeding with serious injury, trauma or surgery</w:t>
            </w:r>
          </w:p>
        </w:tc>
      </w:tr>
    </w:tbl>
    <w:p w14:paraId="46C493A7" w14:textId="7E61361F" w:rsidR="005A127D" w:rsidRDefault="005A127D" w:rsidP="005A127D">
      <w:pPr>
        <w:pStyle w:val="BodyText"/>
        <w:spacing w:before="120"/>
      </w:pPr>
      <w:r w:rsidRPr="0068778B">
        <w:t xml:space="preserve">Note: This program addresses the appropriate use of </w:t>
      </w:r>
      <w:proofErr w:type="spellStart"/>
      <w:r w:rsidRPr="0068778B">
        <w:t>Stimate</w:t>
      </w:r>
      <w:proofErr w:type="spellEnd"/>
      <w:r w:rsidRPr="0068778B">
        <w:t xml:space="preserve"> Nasal Spray only. </w:t>
      </w:r>
      <w:proofErr w:type="spellStart"/>
      <w:r w:rsidRPr="0068778B">
        <w:t>Stimate</w:t>
      </w:r>
      <w:proofErr w:type="spellEnd"/>
      <w:r w:rsidRPr="0068778B">
        <w:t xml:space="preserve"> Nasal Spray and DDAVP (desmopressin) Nasal Spray are two distinct products and are not interchangeable. DDAVP Nasal Spray is not indicated for hemophilia or VWD.</w:t>
      </w:r>
    </w:p>
    <w:p w14:paraId="10DA4309" w14:textId="7FFF4876" w:rsidR="00FF66BF" w:rsidRPr="0068778B" w:rsidRDefault="00FF66BF" w:rsidP="00FF66BF">
      <w:pPr>
        <w:pStyle w:val="Heading2"/>
      </w:pPr>
      <w:r w:rsidRPr="0068778B">
        <w:t>References</w:t>
      </w:r>
    </w:p>
    <w:p w14:paraId="60F109D8" w14:textId="77777777" w:rsidR="00C64A1B" w:rsidRPr="0068778B" w:rsidRDefault="00C64A1B" w:rsidP="00102869">
      <w:pPr>
        <w:pStyle w:val="ReferenceOrdered"/>
      </w:pPr>
      <w:proofErr w:type="spellStart"/>
      <w:r w:rsidRPr="0068778B">
        <w:t>Stimate</w:t>
      </w:r>
      <w:proofErr w:type="spellEnd"/>
      <w:r w:rsidRPr="0068778B">
        <w:t xml:space="preserve"> [package insert]. King of Prussia, PA: CSL Behring LLC; June 2021.</w:t>
      </w:r>
    </w:p>
    <w:p w14:paraId="1A138447" w14:textId="14717F57" w:rsidR="00C64A1B" w:rsidRPr="0068778B" w:rsidRDefault="00C64A1B" w:rsidP="00102869">
      <w:pPr>
        <w:pStyle w:val="ReferenceOrdered"/>
      </w:pPr>
      <w:r w:rsidRPr="0068778B">
        <w:t xml:space="preserve">American Society of Health System Pharmacists. AHFS Drug Information Bethesda, MD. Available with subscription. https://online.lexi.com/lco/action/doc/retrieve/docid/complete_ashp/413832. Accessed October </w:t>
      </w:r>
      <w:r w:rsidR="004B0141">
        <w:t>15</w:t>
      </w:r>
      <w:r w:rsidRPr="0068778B">
        <w:t>, 202</w:t>
      </w:r>
      <w:r w:rsidR="004B0141">
        <w:t>4</w:t>
      </w:r>
      <w:r w:rsidRPr="0068778B">
        <w:t>.</w:t>
      </w:r>
    </w:p>
    <w:p w14:paraId="79C66557" w14:textId="6D8296CF" w:rsidR="00C64A1B" w:rsidRPr="0068778B" w:rsidRDefault="00C64A1B" w:rsidP="00102869">
      <w:pPr>
        <w:pStyle w:val="ReferenceOrdered"/>
      </w:pPr>
      <w:r w:rsidRPr="0068778B">
        <w:t xml:space="preserve">National Hemophilia Foundation. MASAC recommendations regarding the treatment of von Willebrand disease. Revised February 2021. MASAC Document #266. https://www.hemophilia.org/sites/default/files/document/files/266.pdf. Accessed October </w:t>
      </w:r>
      <w:r w:rsidR="004B0141">
        <w:t>15</w:t>
      </w:r>
      <w:r w:rsidRPr="0068778B">
        <w:t>, 202</w:t>
      </w:r>
      <w:r w:rsidR="004B0141">
        <w:t>4</w:t>
      </w:r>
      <w:r w:rsidRPr="0068778B">
        <w:t>.</w:t>
      </w:r>
    </w:p>
    <w:p w14:paraId="392667D9" w14:textId="20EAA532" w:rsidR="004B0141" w:rsidRDefault="00C64A1B" w:rsidP="004B0141">
      <w:pPr>
        <w:pStyle w:val="ReferenceOrdered"/>
      </w:pPr>
      <w:r w:rsidRPr="0068778B">
        <w:t xml:space="preserve">National Hemophilia Foundation. MASAC Recommendations Concerning Products Licensed for the Treatment of Hemophilia and Selected Disorders of the Coagulation System. </w:t>
      </w:r>
      <w:bookmarkStart w:id="1" w:name="_Hlk179888656"/>
      <w:r w:rsidR="004B0141" w:rsidRPr="005C1EC4">
        <w:t xml:space="preserve">Revised </w:t>
      </w:r>
      <w:r w:rsidR="004B0141">
        <w:t>April</w:t>
      </w:r>
      <w:r w:rsidR="004B0141" w:rsidRPr="005C1EC4">
        <w:t xml:space="preserve"> 202</w:t>
      </w:r>
      <w:r w:rsidR="004B0141">
        <w:t>4</w:t>
      </w:r>
      <w:r w:rsidR="004B0141" w:rsidRPr="005C1EC4">
        <w:t>. MASAC Document #28</w:t>
      </w:r>
      <w:r w:rsidR="004B0141">
        <w:t>4</w:t>
      </w:r>
      <w:r w:rsidR="004B0141" w:rsidRPr="005C1EC4">
        <w:t xml:space="preserve">. </w:t>
      </w:r>
      <w:r w:rsidR="004B0141" w:rsidRPr="001B2F48">
        <w:t>https://www.bleeding.org/sites/default/files/document/files/MASAC-Products-Licensed.pdf</w:t>
      </w:r>
      <w:r w:rsidR="004B0141" w:rsidRPr="005C1EC4">
        <w:t xml:space="preserve">. Accessed October </w:t>
      </w:r>
      <w:r w:rsidR="004B0141">
        <w:t>15</w:t>
      </w:r>
      <w:r w:rsidR="004B0141" w:rsidRPr="005C1EC4">
        <w:t>, 202</w:t>
      </w:r>
      <w:r w:rsidR="004B0141">
        <w:t>4</w:t>
      </w:r>
      <w:r w:rsidR="004B0141" w:rsidRPr="005C1EC4">
        <w:t>.</w:t>
      </w:r>
      <w:bookmarkEnd w:id="1"/>
    </w:p>
    <w:p w14:paraId="637C6240" w14:textId="751C4B13" w:rsidR="00C64A1B" w:rsidRPr="0068778B" w:rsidRDefault="00C64A1B" w:rsidP="00102869">
      <w:pPr>
        <w:pStyle w:val="ReferenceOrdered"/>
      </w:pPr>
      <w:r w:rsidRPr="0068778B">
        <w:t xml:space="preserve">Desmopressin (DDAVP) in the treatment of bleeding disorders. Montreal, Canada: World Federation of Hemophilia, 2012. http://www1.wfh.org/publications/files/pdf-1131.pdf. Accessed October </w:t>
      </w:r>
      <w:r w:rsidR="004B0141">
        <w:t>15</w:t>
      </w:r>
      <w:r w:rsidRPr="0068778B">
        <w:t>, 202</w:t>
      </w:r>
      <w:r w:rsidR="004B0141">
        <w:t>4</w:t>
      </w:r>
      <w:r w:rsidRPr="0068778B">
        <w:t>.</w:t>
      </w:r>
    </w:p>
    <w:p w14:paraId="35D21D39" w14:textId="77777777" w:rsidR="00C64A1B" w:rsidRPr="0068778B" w:rsidRDefault="00C64A1B" w:rsidP="00102869">
      <w:pPr>
        <w:pStyle w:val="ReferenceOrdered"/>
      </w:pPr>
      <w:r w:rsidRPr="00425C89">
        <w:rPr>
          <w:lang w:val="it-IT"/>
        </w:rPr>
        <w:t xml:space="preserve">Tiede A, Collins P, Knoebl P, et al. </w:t>
      </w:r>
      <w:r w:rsidRPr="0068778B">
        <w:t xml:space="preserve">International recommendations on the diagnosis and treatment of acquired hemophilia A. </w:t>
      </w:r>
      <w:proofErr w:type="spellStart"/>
      <w:r w:rsidRPr="0068778B">
        <w:t>Haematologica</w:t>
      </w:r>
      <w:proofErr w:type="spellEnd"/>
      <w:r w:rsidRPr="0068778B">
        <w:t>. 2020;105(7)1791-1801.</w:t>
      </w:r>
    </w:p>
    <w:p w14:paraId="58B7E3BB" w14:textId="77777777" w:rsidR="00C64A1B" w:rsidRPr="0068778B" w:rsidRDefault="00C64A1B" w:rsidP="00102869">
      <w:pPr>
        <w:pStyle w:val="ReferenceOrdered"/>
      </w:pPr>
      <w:proofErr w:type="spellStart"/>
      <w:r w:rsidRPr="0068778B">
        <w:t>Franchini</w:t>
      </w:r>
      <w:proofErr w:type="spellEnd"/>
      <w:r w:rsidRPr="0068778B">
        <w:t xml:space="preserve"> M, Lippi G. The use of desmopressin in acquired </w:t>
      </w:r>
      <w:proofErr w:type="spellStart"/>
      <w:r w:rsidRPr="0068778B">
        <w:t>haemophilia</w:t>
      </w:r>
      <w:proofErr w:type="spellEnd"/>
      <w:r w:rsidRPr="0068778B">
        <w:t xml:space="preserve"> A: a systematic review. Blood </w:t>
      </w:r>
      <w:proofErr w:type="spellStart"/>
      <w:r w:rsidRPr="0068778B">
        <w:t>Transfus</w:t>
      </w:r>
      <w:proofErr w:type="spellEnd"/>
      <w:r w:rsidRPr="0068778B">
        <w:t>. 2011;9:377-82.</w:t>
      </w:r>
    </w:p>
    <w:p w14:paraId="21A8567A" w14:textId="77777777" w:rsidR="00C64A1B" w:rsidRPr="0068778B" w:rsidRDefault="00C64A1B" w:rsidP="00102869">
      <w:pPr>
        <w:pStyle w:val="ReferenceOrdered"/>
      </w:pPr>
      <w:r w:rsidRPr="0068778B">
        <w:t>National Institutes of Health. The diagnosis, evaluation, and management of von Willebrand disease. Bethesda, MD: US Dept of Health and Human Services, National Institutes of Health; 2007. NIH publication No. 08-5832.</w:t>
      </w:r>
    </w:p>
    <w:p w14:paraId="520A3C1E" w14:textId="77777777" w:rsidR="00C64A1B" w:rsidRPr="0068778B" w:rsidRDefault="00C64A1B" w:rsidP="00102869">
      <w:pPr>
        <w:pStyle w:val="ReferenceOrdered"/>
      </w:pPr>
      <w:proofErr w:type="spellStart"/>
      <w:r w:rsidRPr="0068778B">
        <w:t>Tiede</w:t>
      </w:r>
      <w:proofErr w:type="spellEnd"/>
      <w:r w:rsidRPr="0068778B">
        <w:t xml:space="preserve"> A, Rand J, </w:t>
      </w:r>
      <w:proofErr w:type="spellStart"/>
      <w:r w:rsidRPr="0068778B">
        <w:t>Budde</w:t>
      </w:r>
      <w:proofErr w:type="spellEnd"/>
      <w:r w:rsidRPr="0068778B">
        <w:t xml:space="preserve"> U, et al. How I treat the acquired von Willebrand syndrome. Blood. 2011;117(25):6777-85.</w:t>
      </w:r>
    </w:p>
    <w:p w14:paraId="6DB134C5" w14:textId="77777777" w:rsidR="00C64A1B" w:rsidRPr="0068778B" w:rsidRDefault="00C64A1B" w:rsidP="00102869">
      <w:pPr>
        <w:pStyle w:val="ReferenceOrdered"/>
      </w:pPr>
      <w:r w:rsidRPr="0068778B">
        <w:t xml:space="preserve">Federici A, </w:t>
      </w:r>
      <w:proofErr w:type="spellStart"/>
      <w:r w:rsidRPr="0068778B">
        <w:t>Budde</w:t>
      </w:r>
      <w:proofErr w:type="spellEnd"/>
      <w:r w:rsidRPr="0068778B">
        <w:t xml:space="preserve"> U, </w:t>
      </w:r>
      <w:proofErr w:type="spellStart"/>
      <w:r w:rsidRPr="0068778B">
        <w:t>Castaman</w:t>
      </w:r>
      <w:proofErr w:type="spellEnd"/>
      <w:r w:rsidRPr="0068778B">
        <w:t xml:space="preserve"> G, Rand J, </w:t>
      </w:r>
      <w:proofErr w:type="spellStart"/>
      <w:r w:rsidRPr="0068778B">
        <w:t>Tiede</w:t>
      </w:r>
      <w:proofErr w:type="spellEnd"/>
      <w:r w:rsidRPr="0068778B">
        <w:t xml:space="preserve"> A. Current diagnostic and therapeutic approaches to patients with acquired von Willebrand syndrome: a 2013 update. Semin </w:t>
      </w:r>
      <w:proofErr w:type="spellStart"/>
      <w:r w:rsidRPr="0068778B">
        <w:t>Thromb</w:t>
      </w:r>
      <w:proofErr w:type="spellEnd"/>
      <w:r w:rsidRPr="0068778B">
        <w:t xml:space="preserve"> </w:t>
      </w:r>
      <w:proofErr w:type="spellStart"/>
      <w:r w:rsidRPr="0068778B">
        <w:t>Hemost</w:t>
      </w:r>
      <w:proofErr w:type="spellEnd"/>
      <w:r w:rsidRPr="0068778B">
        <w:t>. 2013;39(2):191-201.</w:t>
      </w:r>
    </w:p>
    <w:p w14:paraId="4B69BB27" w14:textId="77777777" w:rsidR="000767AE" w:rsidRPr="0068778B" w:rsidRDefault="00C64A1B" w:rsidP="00102869">
      <w:pPr>
        <w:pStyle w:val="ReferenceOrdered"/>
      </w:pPr>
      <w:r w:rsidRPr="00425C89">
        <w:rPr>
          <w:lang w:val="it-IT"/>
        </w:rPr>
        <w:t xml:space="preserve">Srivastava A, Santagostino E, Dougall A, et al. </w:t>
      </w:r>
      <w:r w:rsidRPr="0068778B">
        <w:t xml:space="preserve">WFH Guidelines for the Management of Hemophilia, 3rd edition. </w:t>
      </w:r>
      <w:proofErr w:type="spellStart"/>
      <w:r w:rsidRPr="0068778B">
        <w:t>Haemophilia</w:t>
      </w:r>
      <w:proofErr w:type="spellEnd"/>
      <w:r w:rsidRPr="0068778B">
        <w:t>. 2020 Aug;26 Suppl 6:1-158.</w:t>
      </w:r>
    </w:p>
    <w:sectPr w:rsidR="000767AE" w:rsidRPr="0068778B" w:rsidSect="00F44A98">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69411" w14:textId="77777777" w:rsidR="00C57ED3" w:rsidRDefault="00C57ED3">
      <w:r>
        <w:separator/>
      </w:r>
    </w:p>
  </w:endnote>
  <w:endnote w:type="continuationSeparator" w:id="0">
    <w:p w14:paraId="5CD1052E" w14:textId="77777777" w:rsidR="00C57ED3" w:rsidRDefault="00C57ED3">
      <w:r>
        <w:continuationSeparator/>
      </w:r>
    </w:p>
  </w:endnote>
  <w:endnote w:type="continuationNotice" w:id="1">
    <w:p w14:paraId="4B21E7F7" w14:textId="77777777" w:rsidR="00C57ED3" w:rsidRDefault="00C57E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903094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73EE4" w:rsidRPr="00C73EE4">
      <w:rPr>
        <w:rFonts w:cs="Arial"/>
        <w:noProof/>
        <w:sz w:val="16"/>
        <w:szCs w:val="16"/>
      </w:rPr>
      <w:t>Stimate</w:t>
    </w:r>
    <w:r w:rsidR="00C73EE4">
      <w:rPr>
        <w:rFonts w:cs="Arial"/>
        <w:noProof/>
        <w:snapToGrid w:val="0"/>
        <w:color w:val="000000"/>
        <w:sz w:val="16"/>
        <w:szCs w:val="16"/>
      </w:rPr>
      <w:t xml:space="preserve"> SGM 1950-A </w:t>
    </w:r>
    <w:r w:rsidR="00C73EE4" w:rsidRPr="00C73EE4">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4B0141">
      <w:rPr>
        <w:rFonts w:cs="Arial"/>
        <w:snapToGrid w:val="0"/>
        <w:color w:val="000000"/>
        <w:sz w:val="16"/>
      </w:rPr>
      <w:t>5</w:t>
    </w:r>
    <w:r w:rsidRPr="00EC47B6">
      <w:rPr>
        <w:rFonts w:cs="Arial"/>
        <w:snapToGrid w:val="0"/>
        <w:color w:val="000000"/>
        <w:sz w:val="16"/>
      </w:rPr>
      <w:t xml:space="preserve"> CVS Caremark. All rights reserved.</w:t>
    </w:r>
  </w:p>
  <w:p w14:paraId="61CF5924" w14:textId="0CFC8CA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C1BCAA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73EE4" w:rsidRPr="00C73EE4">
      <w:rPr>
        <w:rFonts w:cs="Arial"/>
        <w:noProof/>
        <w:sz w:val="16"/>
        <w:szCs w:val="16"/>
      </w:rPr>
      <w:t>Stimate</w:t>
    </w:r>
    <w:r w:rsidR="00C73EE4">
      <w:rPr>
        <w:rFonts w:cs="Arial"/>
        <w:noProof/>
        <w:snapToGrid w:val="0"/>
        <w:color w:val="000000"/>
        <w:sz w:val="16"/>
        <w:szCs w:val="16"/>
      </w:rPr>
      <w:t xml:space="preserve"> SGM 1950-A </w:t>
    </w:r>
    <w:r w:rsidR="00C73EE4" w:rsidRPr="00C73EE4">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4B0141">
      <w:rPr>
        <w:rFonts w:cs="Arial"/>
        <w:snapToGrid w:val="0"/>
        <w:color w:val="000000"/>
        <w:sz w:val="16"/>
      </w:rPr>
      <w:t>5</w:t>
    </w:r>
    <w:r w:rsidRPr="00EC47B6">
      <w:rPr>
        <w:rFonts w:cs="Arial"/>
        <w:snapToGrid w:val="0"/>
        <w:color w:val="000000"/>
        <w:sz w:val="16"/>
      </w:rPr>
      <w:t xml:space="preserve"> CVS Caremark. All rights reserved.</w:t>
    </w:r>
  </w:p>
  <w:p w14:paraId="39BFE579" w14:textId="1B34CC2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32727" w14:textId="77777777" w:rsidR="00C57ED3" w:rsidRDefault="00C57ED3">
      <w:r>
        <w:separator/>
      </w:r>
    </w:p>
  </w:footnote>
  <w:footnote w:type="continuationSeparator" w:id="0">
    <w:p w14:paraId="17DB8356" w14:textId="77777777" w:rsidR="00C57ED3" w:rsidRDefault="00C57ED3">
      <w:r>
        <w:continuationSeparator/>
      </w:r>
    </w:p>
  </w:footnote>
  <w:footnote w:type="continuationNotice" w:id="1">
    <w:p w14:paraId="48E270D7" w14:textId="77777777" w:rsidR="00C57ED3" w:rsidRDefault="00C57E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03A09" w:rsidRDefault="00ED04EC" w:rsidP="00ED04EC">
          <w:pPr>
            <w:pStyle w:val="Header"/>
            <w:rPr>
              <w:rFonts w:cs="Arial"/>
              <w:sz w:val="16"/>
              <w:szCs w:val="16"/>
            </w:rPr>
          </w:pPr>
          <w:r w:rsidRPr="00F03A09">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878B237" w:rsidR="00ED04EC" w:rsidRPr="00F03A09" w:rsidRDefault="00C64A1B" w:rsidP="00ED04EC">
          <w:pPr>
            <w:pStyle w:val="Header"/>
            <w:rPr>
              <w:rFonts w:cs="Arial"/>
              <w:sz w:val="16"/>
              <w:szCs w:val="16"/>
            </w:rPr>
          </w:pPr>
          <w:r w:rsidRPr="00F03A09">
            <w:rPr>
              <w:rFonts w:cs="Arial"/>
              <w:sz w:val="16"/>
              <w:szCs w:val="16"/>
            </w:rPr>
            <w:t>1950-A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67B96523" w:rsidR="000F5383" w:rsidRPr="00FF66BF" w:rsidRDefault="00C64A1B" w:rsidP="009E1F57">
          <w:pPr>
            <w:pStyle w:val="RefTableHeader"/>
          </w:pPr>
          <w:r>
            <w:t>1950-A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C85769"/>
    <w:multiLevelType w:val="hybridMultilevel"/>
    <w:tmpl w:val="5562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8F7CF8"/>
    <w:multiLevelType w:val="hybridMultilevel"/>
    <w:tmpl w:val="F1108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E70B86"/>
    <w:multiLevelType w:val="hybridMultilevel"/>
    <w:tmpl w:val="77187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9"/>
  </w:num>
  <w:num w:numId="18" w16cid:durableId="299724409">
    <w:abstractNumId w:val="23"/>
  </w:num>
  <w:num w:numId="19" w16cid:durableId="214585573">
    <w:abstractNumId w:val="14"/>
  </w:num>
  <w:num w:numId="20" w16cid:durableId="1289816170">
    <w:abstractNumId w:val="15"/>
  </w:num>
  <w:num w:numId="21" w16cid:durableId="1066490929">
    <w:abstractNumId w:val="30"/>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1"/>
  </w:num>
  <w:num w:numId="27" w16cid:durableId="1866016584">
    <w:abstractNumId w:val="20"/>
  </w:num>
  <w:num w:numId="28" w16cid:durableId="1163619343">
    <w:abstractNumId w:val="19"/>
  </w:num>
  <w:num w:numId="29" w16cid:durableId="462701331">
    <w:abstractNumId w:val="28"/>
  </w:num>
  <w:num w:numId="30" w16cid:durableId="278336089">
    <w:abstractNumId w:val="11"/>
  </w:num>
  <w:num w:numId="31" w16cid:durableId="82341789">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EA5"/>
    <w:rsid w:val="0003572F"/>
    <w:rsid w:val="00036079"/>
    <w:rsid w:val="0003693D"/>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F2C"/>
    <w:rsid w:val="00065AC6"/>
    <w:rsid w:val="0006610D"/>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38B6"/>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3DA"/>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869"/>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009"/>
    <w:rsid w:val="00132118"/>
    <w:rsid w:val="001344B1"/>
    <w:rsid w:val="00134671"/>
    <w:rsid w:val="0013477B"/>
    <w:rsid w:val="0013503B"/>
    <w:rsid w:val="001356EF"/>
    <w:rsid w:val="00136BE6"/>
    <w:rsid w:val="001370F9"/>
    <w:rsid w:val="00137657"/>
    <w:rsid w:val="00137956"/>
    <w:rsid w:val="00137C7B"/>
    <w:rsid w:val="001404B4"/>
    <w:rsid w:val="00140B8C"/>
    <w:rsid w:val="00140ED6"/>
    <w:rsid w:val="00142180"/>
    <w:rsid w:val="0014405C"/>
    <w:rsid w:val="0014413C"/>
    <w:rsid w:val="00144795"/>
    <w:rsid w:val="001448D4"/>
    <w:rsid w:val="00144B23"/>
    <w:rsid w:val="00144BEB"/>
    <w:rsid w:val="0014542F"/>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0D80"/>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2DCD"/>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ED0"/>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0D9"/>
    <w:rsid w:val="00220916"/>
    <w:rsid w:val="00220B8D"/>
    <w:rsid w:val="00220E02"/>
    <w:rsid w:val="00221054"/>
    <w:rsid w:val="002211B9"/>
    <w:rsid w:val="00221310"/>
    <w:rsid w:val="00221ABB"/>
    <w:rsid w:val="00221AD8"/>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E22"/>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A7CEB"/>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DD5"/>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78E"/>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2F0"/>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6245"/>
    <w:rsid w:val="004172BF"/>
    <w:rsid w:val="00420013"/>
    <w:rsid w:val="00420227"/>
    <w:rsid w:val="00420545"/>
    <w:rsid w:val="00420E1B"/>
    <w:rsid w:val="00420EE4"/>
    <w:rsid w:val="00421305"/>
    <w:rsid w:val="0042209A"/>
    <w:rsid w:val="0042222E"/>
    <w:rsid w:val="00422416"/>
    <w:rsid w:val="004226CD"/>
    <w:rsid w:val="00422766"/>
    <w:rsid w:val="004236F4"/>
    <w:rsid w:val="00423C96"/>
    <w:rsid w:val="00425453"/>
    <w:rsid w:val="00425C89"/>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1C27"/>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141"/>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1DF"/>
    <w:rsid w:val="004C64EE"/>
    <w:rsid w:val="004C67FF"/>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5F13"/>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27D"/>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2E2A"/>
    <w:rsid w:val="005B425D"/>
    <w:rsid w:val="005B496D"/>
    <w:rsid w:val="005B52C4"/>
    <w:rsid w:val="005B7896"/>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228"/>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0D00"/>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3DC"/>
    <w:rsid w:val="00647646"/>
    <w:rsid w:val="0065036F"/>
    <w:rsid w:val="00650ADD"/>
    <w:rsid w:val="00651CAA"/>
    <w:rsid w:val="00652357"/>
    <w:rsid w:val="006525F5"/>
    <w:rsid w:val="00652D56"/>
    <w:rsid w:val="00653B49"/>
    <w:rsid w:val="0065581E"/>
    <w:rsid w:val="0065591A"/>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78B"/>
    <w:rsid w:val="00687C15"/>
    <w:rsid w:val="006909A7"/>
    <w:rsid w:val="006913AD"/>
    <w:rsid w:val="006917AF"/>
    <w:rsid w:val="006919C1"/>
    <w:rsid w:val="0069283D"/>
    <w:rsid w:val="00692A50"/>
    <w:rsid w:val="00693B34"/>
    <w:rsid w:val="00694385"/>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2FC"/>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0D7"/>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4F3"/>
    <w:rsid w:val="008C30A0"/>
    <w:rsid w:val="008C3173"/>
    <w:rsid w:val="008C3DF1"/>
    <w:rsid w:val="008C42FB"/>
    <w:rsid w:val="008C45B6"/>
    <w:rsid w:val="008C54D9"/>
    <w:rsid w:val="008C5E4C"/>
    <w:rsid w:val="008C7287"/>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3E5D"/>
    <w:rsid w:val="008F4B96"/>
    <w:rsid w:val="008F53E8"/>
    <w:rsid w:val="008F58D0"/>
    <w:rsid w:val="008F5F59"/>
    <w:rsid w:val="008F640B"/>
    <w:rsid w:val="008F79F2"/>
    <w:rsid w:val="008F7B57"/>
    <w:rsid w:val="00901826"/>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87F3F"/>
    <w:rsid w:val="00990BE4"/>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3F1"/>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0F7"/>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C54"/>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0C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5FD1"/>
    <w:rsid w:val="00AC6DB3"/>
    <w:rsid w:val="00AC71BB"/>
    <w:rsid w:val="00AC7B9C"/>
    <w:rsid w:val="00AD04FE"/>
    <w:rsid w:val="00AD1327"/>
    <w:rsid w:val="00AD15D0"/>
    <w:rsid w:val="00AD172C"/>
    <w:rsid w:val="00AD1F50"/>
    <w:rsid w:val="00AD457D"/>
    <w:rsid w:val="00AD5212"/>
    <w:rsid w:val="00AD5E4E"/>
    <w:rsid w:val="00AD6657"/>
    <w:rsid w:val="00AD6ADD"/>
    <w:rsid w:val="00AD703C"/>
    <w:rsid w:val="00AD7286"/>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9E"/>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890"/>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0EA"/>
    <w:rsid w:val="00B97115"/>
    <w:rsid w:val="00B976D7"/>
    <w:rsid w:val="00BA02AD"/>
    <w:rsid w:val="00BA06AE"/>
    <w:rsid w:val="00BA11F3"/>
    <w:rsid w:val="00BA185E"/>
    <w:rsid w:val="00BA2050"/>
    <w:rsid w:val="00BA20D0"/>
    <w:rsid w:val="00BA27A1"/>
    <w:rsid w:val="00BA2EEB"/>
    <w:rsid w:val="00BA2EFA"/>
    <w:rsid w:val="00BA2F74"/>
    <w:rsid w:val="00BA347C"/>
    <w:rsid w:val="00BA5E53"/>
    <w:rsid w:val="00BA759D"/>
    <w:rsid w:val="00BA7968"/>
    <w:rsid w:val="00BA7B15"/>
    <w:rsid w:val="00BB0320"/>
    <w:rsid w:val="00BB0FD9"/>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0CFF"/>
    <w:rsid w:val="00BE1277"/>
    <w:rsid w:val="00BE181E"/>
    <w:rsid w:val="00BE1A32"/>
    <w:rsid w:val="00BE23F2"/>
    <w:rsid w:val="00BE2659"/>
    <w:rsid w:val="00BE2E87"/>
    <w:rsid w:val="00BE38A5"/>
    <w:rsid w:val="00BE3B53"/>
    <w:rsid w:val="00BE3BC7"/>
    <w:rsid w:val="00BE4562"/>
    <w:rsid w:val="00BE5586"/>
    <w:rsid w:val="00BE5599"/>
    <w:rsid w:val="00BE5C53"/>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57ED3"/>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4A1B"/>
    <w:rsid w:val="00C65465"/>
    <w:rsid w:val="00C65502"/>
    <w:rsid w:val="00C675EB"/>
    <w:rsid w:val="00C676EA"/>
    <w:rsid w:val="00C700FE"/>
    <w:rsid w:val="00C72424"/>
    <w:rsid w:val="00C73E8B"/>
    <w:rsid w:val="00C73EE4"/>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02F"/>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124"/>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1FE"/>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C72"/>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16B"/>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A09"/>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96E"/>
    <w:rsid w:val="00F42E4B"/>
    <w:rsid w:val="00F43BA8"/>
    <w:rsid w:val="00F44A9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0F4"/>
    <w:rsid w:val="00FC385D"/>
    <w:rsid w:val="00FC5D44"/>
    <w:rsid w:val="00FC6576"/>
    <w:rsid w:val="00FC740F"/>
    <w:rsid w:val="00FC7852"/>
    <w:rsid w:val="00FC7867"/>
    <w:rsid w:val="00FC78C0"/>
    <w:rsid w:val="00FD000B"/>
    <w:rsid w:val="00FD00F8"/>
    <w:rsid w:val="00FD0341"/>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671"/>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86D1B83B-5ED6-4AE1-BCC4-C1E79E1E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B970EA"/>
    <w:pPr>
      <w:numPr>
        <w:numId w:val="31"/>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48719997">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7232598">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0828236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1727664">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27199088">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68245562">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43554502">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6BB4-FDB0-4215-89BD-F6AB7567F768}"/>
</file>

<file path=customXml/itemProps2.xml><?xml version="1.0" encoding="utf-8"?>
<ds:datastoreItem xmlns:ds="http://schemas.openxmlformats.org/officeDocument/2006/customXml" ds:itemID="{A243CFE1-08DE-432F-83DD-4933F5F97812}">
  <ds:schemaRef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710</Words>
  <Characters>4413</Characters>
  <Application>Microsoft Office Word</Application>
  <DocSecurity>0</DocSecurity>
  <Lines>91</Lines>
  <Paragraphs>64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Stimate 1950-A SGM 2024</vt:lpstr>
      <vt:lpstr>Specialty Guideline Management Stimate</vt:lpstr>
      <vt:lpstr>    Products Referenced by this Document</vt:lpstr>
      <vt:lpstr>    Indications</vt:lpstr>
      <vt:lpstr>        FDA-Approved Indications1</vt:lpstr>
      <vt:lpstr>        Compendial Uses2-11,A</vt:lpstr>
      <vt:lpstr>    Coverage Criteria</vt:lpstr>
      <vt:lpstr>        Von Willebrand Disease1-4,10</vt:lpstr>
      <vt:lpstr>        Hemophilia A1,4</vt:lpstr>
      <vt:lpstr>        Qualitative Platelet Disorders6,A</vt:lpstr>
      <vt:lpstr>        Acquired Hemophilia A5,6</vt:lpstr>
      <vt:lpstr>        Acquired von Willebrand Syndrome8,9</vt:lpstr>
      <vt:lpstr>    Continuation of Therapy</vt:lpstr>
      <vt:lpstr>    Appendix</vt:lpstr>
      <vt:lpstr>        Appendix: Classification of Hemophilia by Clotting Factor Level (% Activity) and</vt:lpstr>
      <vt:lpstr>    References</vt:lpstr>
      <vt:lpstr>    Internal References</vt:lpstr>
      <vt:lpstr>    Document History</vt:lpstr>
    </vt:vector>
  </TitlesOfParts>
  <Company>PCS Health Systems</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Stimate SGM 1950-A</dc:title>
  <dc:subject/>
  <dc:creator>CVS Caremark</dc:creator>
  <cp:keywords/>
  <cp:lastModifiedBy>Huerta, Linda M</cp:lastModifiedBy>
  <cp:revision>5</cp:revision>
  <cp:lastPrinted>2018-01-09T09:01:00Z</cp:lastPrinted>
  <dcterms:created xsi:type="dcterms:W3CDTF">2025-03-07T18:29:00Z</dcterms:created>
  <dcterms:modified xsi:type="dcterms:W3CDTF">2025-03-07T18:30:00Z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1339800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